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（様式２）</w:t>
      </w:r>
    </w:p>
    <w:p w:rsidR="00B132DB" w:rsidRDefault="00B132DB" w:rsidP="00100148">
      <w:pPr>
        <w:spacing w:line="0" w:lineRule="atLeast"/>
        <w:jc w:val="righ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年　　月　　日　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132DB" w:rsidRDefault="00FC1B02" w:rsidP="00100148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もやいすとグローバル</w:t>
      </w:r>
      <w:r w:rsidR="00B132DB">
        <w:rPr>
          <w:rFonts w:asciiTheme="majorEastAsia" w:eastAsiaTheme="majorEastAsia" w:hAnsiTheme="majorEastAsia" w:cs="Meiryo UI" w:hint="eastAsia"/>
          <w:sz w:val="24"/>
          <w:szCs w:val="24"/>
        </w:rPr>
        <w:t>認定申請書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熊本県立大学長　様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学籍番号</w:t>
      </w:r>
    </w:p>
    <w:p w:rsidR="00B132DB" w:rsidRDefault="00B132DB" w:rsidP="00100148">
      <w:pPr>
        <w:spacing w:line="0" w:lineRule="atLeast"/>
        <w:ind w:firstLineChars="600" w:firstLine="1540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学部　　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学科又は専攻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年次</w:t>
      </w:r>
    </w:p>
    <w:p w:rsidR="00B132DB" w:rsidRDefault="00B132DB" w:rsidP="00100148">
      <w:pPr>
        <w:spacing w:line="0" w:lineRule="atLeast"/>
        <w:ind w:firstLineChars="1600" w:firstLine="4108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氏名</w:t>
      </w: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</w:p>
    <w:p w:rsidR="00B132DB" w:rsidRDefault="00FC1B02" w:rsidP="00100148">
      <w:pPr>
        <w:spacing w:line="0" w:lineRule="atLeast"/>
        <w:ind w:firstLineChars="100" w:firstLine="257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次のとおり</w:t>
      </w:r>
      <w:r w:rsidR="00336656">
        <w:rPr>
          <w:rFonts w:asciiTheme="majorEastAsia" w:eastAsiaTheme="majorEastAsia" w:hAnsiTheme="majorEastAsia" w:cs="Meiryo UI" w:hint="eastAsia"/>
          <w:sz w:val="24"/>
          <w:szCs w:val="24"/>
        </w:rPr>
        <w:t>、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もやいすとグローバル</w:t>
      </w:r>
      <w:r w:rsidR="00B132DB">
        <w:rPr>
          <w:rFonts w:asciiTheme="majorEastAsia" w:eastAsiaTheme="majorEastAsia" w:hAnsiTheme="majorEastAsia" w:cs="Meiryo UI" w:hint="eastAsia"/>
          <w:sz w:val="24"/>
          <w:szCs w:val="24"/>
        </w:rPr>
        <w:t>の認定を申請します。</w:t>
      </w:r>
    </w:p>
    <w:p w:rsidR="00B132DB" w:rsidRPr="00FC1B02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１　申請区分（いずれかを</w:t>
      </w:r>
      <w:r w:rsidR="00BF1505">
        <w:rPr>
          <w:rFonts w:asciiTheme="majorEastAsia" w:eastAsiaTheme="majorEastAsia" w:hAnsiTheme="majorEastAsia" w:cs="Meiryo UI" w:hint="eastAsia"/>
          <w:sz w:val="24"/>
          <w:szCs w:val="24"/>
        </w:rPr>
        <w:t>チェック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）</w:t>
      </w:r>
    </w:p>
    <w:p w:rsidR="00B132DB" w:rsidRPr="0042567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□もやいすとシニア</w:t>
      </w:r>
      <w:r w:rsidR="00585739">
        <w:rPr>
          <w:rFonts w:asciiTheme="majorEastAsia" w:eastAsiaTheme="majorEastAsia" w:hAnsiTheme="majorEastAsia" w:cs="Meiryo UI" w:hint="eastAsia"/>
          <w:sz w:val="24"/>
          <w:szCs w:val="24"/>
        </w:rPr>
        <w:t xml:space="preserve"> Global</w:t>
      </w:r>
    </w:p>
    <w:p w:rsidR="00B132DB" w:rsidRPr="0042567B" w:rsidRDefault="00B132DB" w:rsidP="00100148">
      <w:pPr>
        <w:spacing w:line="0" w:lineRule="atLeast"/>
        <w:ind w:firstLineChars="500" w:firstLine="1284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□</w:t>
      </w:r>
      <w:r w:rsidRPr="0042567B">
        <w:rPr>
          <w:rFonts w:asciiTheme="majorEastAsia" w:eastAsiaTheme="majorEastAsia" w:hAnsiTheme="majorEastAsia" w:cs="Meiryo UI" w:hint="eastAsia"/>
          <w:sz w:val="24"/>
          <w:szCs w:val="24"/>
        </w:rPr>
        <w:t>もやいすとスーパー</w:t>
      </w:r>
      <w:r w:rsidR="00585739">
        <w:rPr>
          <w:rFonts w:asciiTheme="majorEastAsia" w:eastAsiaTheme="majorEastAsia" w:hAnsiTheme="majorEastAsia" w:cs="Meiryo UI"/>
          <w:sz w:val="24"/>
          <w:szCs w:val="24"/>
        </w:rPr>
        <w:t xml:space="preserve"> </w:t>
      </w:r>
      <w:r w:rsidR="00585739">
        <w:rPr>
          <w:rFonts w:asciiTheme="majorEastAsia" w:eastAsiaTheme="majorEastAsia" w:hAnsiTheme="majorEastAsia" w:cs="Meiryo UI" w:hint="eastAsia"/>
          <w:sz w:val="24"/>
          <w:szCs w:val="24"/>
        </w:rPr>
        <w:t>Global</w:t>
      </w:r>
    </w:p>
    <w:p w:rsidR="00B132DB" w:rsidRPr="00B132DB" w:rsidRDefault="00B132DB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F1505" w:rsidRDefault="00BF1505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２　認定の基準（申請区分に応じて満たした</w:t>
      </w:r>
      <w:r w:rsidR="00100148">
        <w:rPr>
          <w:rFonts w:asciiTheme="majorEastAsia" w:eastAsiaTheme="majorEastAsia" w:hAnsiTheme="majorEastAsia" w:cs="Meiryo UI" w:hint="eastAsia"/>
          <w:sz w:val="24"/>
          <w:szCs w:val="24"/>
        </w:rPr>
        <w:t>項目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をチェック）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F1505" w:rsidRPr="0042567B" w:rsidTr="007B50E6">
        <w:tc>
          <w:tcPr>
            <w:tcW w:w="2547" w:type="dxa"/>
          </w:tcPr>
          <w:p w:rsidR="00BF1505" w:rsidRPr="00100148" w:rsidRDefault="00585739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もやいすとシニア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Global</w:t>
            </w:r>
            <w:r w:rsidR="00397639">
              <w:rPr>
                <w:rFonts w:asciiTheme="majorEastAsia" w:eastAsiaTheme="majorEastAsia" w:hAnsiTheme="majorEastAsia" w:cs="Meiryo UI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〇以下の総ての項目を満たすこと</w:t>
            </w:r>
          </w:p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□「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Kumamoto Studies」、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「もやいすとシニア（グローバル）育成」の単位修得</w:t>
            </w:r>
          </w:p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「Moyaist Global Training I」、「Moyaist Global Training II」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の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修得及びTOEIC®650点以上のスコアを取得</w:t>
            </w:r>
          </w:p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□Global Loungeにおける諸活動への３回以上の参加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□学内外の国際交流活動への１回以上の参加</w:t>
            </w:r>
          </w:p>
        </w:tc>
      </w:tr>
      <w:tr w:rsidR="00BF1505" w:rsidRPr="0042567B" w:rsidTr="007B50E6">
        <w:tc>
          <w:tcPr>
            <w:tcW w:w="2547" w:type="dxa"/>
          </w:tcPr>
          <w:p w:rsidR="00BF1505" w:rsidRDefault="00585739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もやいすとスーパー</w:t>
            </w:r>
          </w:p>
          <w:p w:rsidR="00585739" w:rsidRPr="00100148" w:rsidRDefault="00585739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Global</w:t>
            </w:r>
          </w:p>
        </w:tc>
        <w:tc>
          <w:tcPr>
            <w:tcW w:w="6520" w:type="dxa"/>
          </w:tcPr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〇以下の総ての項目を満たすこと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</w:t>
            </w:r>
            <w:r w:rsidR="00585739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もやいすとシニア</w:t>
            </w:r>
            <w:r w:rsidR="00585739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 </w:t>
            </w:r>
            <w:r w:rsidR="00585739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Global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としての認定</w:t>
            </w:r>
          </w:p>
          <w:p w:rsidR="00BF1505" w:rsidRPr="00100148" w:rsidRDefault="00BF1505" w:rsidP="00100148">
            <w:pPr>
              <w:spacing w:line="0" w:lineRule="atLeast"/>
              <w:ind w:left="237" w:hangingChars="100" w:hanging="237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「グローバル実践活動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」の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修得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または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交換留学、またはそれらに準ずるもの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□10単位以上の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グローバル科目の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単位修得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（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※単位修得したグローバル科目名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と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単位数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を記載）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　　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　　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ind w:firstLineChars="200" w:firstLine="473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ind w:firstLineChars="200" w:firstLine="473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ind w:firstLineChars="200" w:firstLine="473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ind w:firstLineChars="200" w:firstLine="473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ind w:firstLineChars="200" w:firstLine="473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 xml:space="preserve">（　　　　　　　　　　　　　　　　　　</w:t>
            </w:r>
            <w:r w:rsidR="00066D2B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単位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）</w:t>
            </w:r>
          </w:p>
          <w:p w:rsidR="00BF1505" w:rsidRPr="00100148" w:rsidRDefault="00BF1505" w:rsidP="00100148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</w:pP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□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TOEIC®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7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30点</w:t>
            </w:r>
            <w:r w:rsidRPr="00100148">
              <w:rPr>
                <w:rFonts w:asciiTheme="majorEastAsia" w:eastAsiaTheme="majorEastAsia" w:hAnsiTheme="majorEastAsia" w:cs="Meiryo UI" w:hint="eastAsia"/>
                <w:color w:val="000000" w:themeColor="text1"/>
                <w:sz w:val="22"/>
              </w:rPr>
              <w:t>以上</w:t>
            </w:r>
            <w:r w:rsidRPr="00100148">
              <w:rPr>
                <w:rFonts w:asciiTheme="majorEastAsia" w:eastAsiaTheme="majorEastAsia" w:hAnsiTheme="majorEastAsia" w:cs="Meiryo UI"/>
                <w:color w:val="000000" w:themeColor="text1"/>
                <w:sz w:val="22"/>
              </w:rPr>
              <w:t>のスコアを取得</w:t>
            </w:r>
          </w:p>
        </w:tc>
      </w:tr>
    </w:tbl>
    <w:p w:rsidR="00BF1505" w:rsidRPr="00BF1505" w:rsidRDefault="00BF1505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:rsidR="00B132DB" w:rsidRDefault="00BF1505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≪添付書類≫</w:t>
      </w:r>
      <w:r w:rsidR="00100148">
        <w:rPr>
          <w:rFonts w:asciiTheme="majorEastAsia" w:eastAsiaTheme="majorEastAsia" w:hAnsiTheme="majorEastAsia" w:cs="Meiryo UI" w:hint="eastAsia"/>
          <w:sz w:val="24"/>
          <w:szCs w:val="24"/>
        </w:rPr>
        <w:t>（添付した書類をチェック）</w:t>
      </w:r>
    </w:p>
    <w:p w:rsidR="00BF1505" w:rsidRDefault="00BF1505" w:rsidP="00100148">
      <w:pPr>
        <w:spacing w:line="0" w:lineRule="atLeast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100148">
        <w:rPr>
          <w:rFonts w:asciiTheme="majorEastAsia" w:eastAsiaTheme="majorEastAsia" w:hAnsiTheme="majorEastAsia" w:cs="Meiryo UI" w:hint="eastAsia"/>
          <w:sz w:val="24"/>
          <w:szCs w:val="24"/>
        </w:rPr>
        <w:t>□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成績証明書</w:t>
      </w:r>
    </w:p>
    <w:p w:rsidR="00100148" w:rsidRDefault="00BF1505" w:rsidP="00100148">
      <w:pPr>
        <w:spacing w:line="0" w:lineRule="atLeast"/>
        <w:ind w:left="257" w:hangingChars="100" w:hanging="257"/>
        <w:jc w:val="lef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100148">
        <w:rPr>
          <w:rFonts w:asciiTheme="majorEastAsia" w:eastAsiaTheme="majorEastAsia" w:hAnsiTheme="majorEastAsia" w:cs="Meiryo UI" w:hint="eastAsia"/>
          <w:sz w:val="24"/>
          <w:szCs w:val="24"/>
        </w:rPr>
        <w:t>□</w:t>
      </w:r>
      <w:r w:rsidR="0010014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TOEIC®スコアの写し</w:t>
      </w:r>
    </w:p>
    <w:p w:rsidR="00100148" w:rsidRDefault="00100148" w:rsidP="00100148">
      <w:pPr>
        <w:spacing w:line="0" w:lineRule="atLeast"/>
        <w:ind w:left="257" w:hangingChars="100" w:hanging="257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□その他項目を満たしたことを証する書類の写し</w:t>
      </w:r>
    </w:p>
    <w:p w:rsidR="00100148" w:rsidRDefault="00100148" w:rsidP="00100148">
      <w:pPr>
        <w:spacing w:line="0" w:lineRule="atLeast"/>
        <w:ind w:left="257" w:hangingChars="100" w:hanging="257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□その他センター長が必要とする書類</w:t>
      </w:r>
      <w:bookmarkStart w:id="0" w:name="_GoBack"/>
      <w:bookmarkEnd w:id="0"/>
    </w:p>
    <w:sectPr w:rsidR="00100148" w:rsidSect="009F3E9A">
      <w:pgSz w:w="11906" w:h="16838" w:code="9"/>
      <w:pgMar w:top="1418" w:right="1418" w:bottom="851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06" w:rsidRDefault="00326106" w:rsidP="00326106">
      <w:r>
        <w:separator/>
      </w:r>
    </w:p>
  </w:endnote>
  <w:endnote w:type="continuationSeparator" w:id="0">
    <w:p w:rsidR="00326106" w:rsidRDefault="00326106" w:rsidP="0032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06" w:rsidRDefault="00326106" w:rsidP="00326106">
      <w:r>
        <w:separator/>
      </w:r>
    </w:p>
  </w:footnote>
  <w:footnote w:type="continuationSeparator" w:id="0">
    <w:p w:rsidR="00326106" w:rsidRDefault="00326106" w:rsidP="0032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7019"/>
    <w:multiLevelType w:val="hybridMultilevel"/>
    <w:tmpl w:val="F0DCDF62"/>
    <w:lvl w:ilvl="0" w:tplc="6D664F9E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E4"/>
    <w:rsid w:val="00007DD2"/>
    <w:rsid w:val="00034569"/>
    <w:rsid w:val="00066D2B"/>
    <w:rsid w:val="00077560"/>
    <w:rsid w:val="000A4AAD"/>
    <w:rsid w:val="000C2BFE"/>
    <w:rsid w:val="000C2F77"/>
    <w:rsid w:val="00100148"/>
    <w:rsid w:val="001006E4"/>
    <w:rsid w:val="001821C4"/>
    <w:rsid w:val="001B16CF"/>
    <w:rsid w:val="0026008A"/>
    <w:rsid w:val="002604F3"/>
    <w:rsid w:val="00263EAF"/>
    <w:rsid w:val="002B44AB"/>
    <w:rsid w:val="002D00E8"/>
    <w:rsid w:val="002D7694"/>
    <w:rsid w:val="002E0978"/>
    <w:rsid w:val="002F20A5"/>
    <w:rsid w:val="002F3C0E"/>
    <w:rsid w:val="00302CE6"/>
    <w:rsid w:val="0030320C"/>
    <w:rsid w:val="003037E5"/>
    <w:rsid w:val="00326106"/>
    <w:rsid w:val="00336656"/>
    <w:rsid w:val="00346743"/>
    <w:rsid w:val="00390829"/>
    <w:rsid w:val="00397639"/>
    <w:rsid w:val="003A152C"/>
    <w:rsid w:val="003B2E75"/>
    <w:rsid w:val="003D7B35"/>
    <w:rsid w:val="003E530F"/>
    <w:rsid w:val="00403241"/>
    <w:rsid w:val="00413378"/>
    <w:rsid w:val="00420E20"/>
    <w:rsid w:val="0042567B"/>
    <w:rsid w:val="00470084"/>
    <w:rsid w:val="00485DBD"/>
    <w:rsid w:val="004B20B4"/>
    <w:rsid w:val="004B7CAD"/>
    <w:rsid w:val="005248B9"/>
    <w:rsid w:val="00546A17"/>
    <w:rsid w:val="005654B4"/>
    <w:rsid w:val="00585739"/>
    <w:rsid w:val="005C4BD9"/>
    <w:rsid w:val="005F3DEE"/>
    <w:rsid w:val="00622F8D"/>
    <w:rsid w:val="00633DE6"/>
    <w:rsid w:val="00644583"/>
    <w:rsid w:val="006642D5"/>
    <w:rsid w:val="00664BDD"/>
    <w:rsid w:val="006709CD"/>
    <w:rsid w:val="00676981"/>
    <w:rsid w:val="00682E75"/>
    <w:rsid w:val="00683377"/>
    <w:rsid w:val="006B74B7"/>
    <w:rsid w:val="006E016D"/>
    <w:rsid w:val="006E74D9"/>
    <w:rsid w:val="00720E56"/>
    <w:rsid w:val="007306DD"/>
    <w:rsid w:val="00732B48"/>
    <w:rsid w:val="007429E6"/>
    <w:rsid w:val="00747F72"/>
    <w:rsid w:val="0078514A"/>
    <w:rsid w:val="007D23BB"/>
    <w:rsid w:val="007D4507"/>
    <w:rsid w:val="008058AB"/>
    <w:rsid w:val="008203B2"/>
    <w:rsid w:val="00904419"/>
    <w:rsid w:val="00944C7D"/>
    <w:rsid w:val="00983BD1"/>
    <w:rsid w:val="00997F50"/>
    <w:rsid w:val="009D6D60"/>
    <w:rsid w:val="009E178F"/>
    <w:rsid w:val="009E3B5E"/>
    <w:rsid w:val="009E4261"/>
    <w:rsid w:val="009F3E9A"/>
    <w:rsid w:val="00A0232F"/>
    <w:rsid w:val="00A15CAF"/>
    <w:rsid w:val="00A25168"/>
    <w:rsid w:val="00A337D9"/>
    <w:rsid w:val="00A45428"/>
    <w:rsid w:val="00A528B5"/>
    <w:rsid w:val="00A53E55"/>
    <w:rsid w:val="00A67D5F"/>
    <w:rsid w:val="00A7280C"/>
    <w:rsid w:val="00AA17CA"/>
    <w:rsid w:val="00AB610C"/>
    <w:rsid w:val="00AC2214"/>
    <w:rsid w:val="00B132DB"/>
    <w:rsid w:val="00B136D5"/>
    <w:rsid w:val="00B47F95"/>
    <w:rsid w:val="00B509AA"/>
    <w:rsid w:val="00B84585"/>
    <w:rsid w:val="00BA2704"/>
    <w:rsid w:val="00BB2856"/>
    <w:rsid w:val="00BB72F4"/>
    <w:rsid w:val="00BC5C9A"/>
    <w:rsid w:val="00BD5FAA"/>
    <w:rsid w:val="00BD71C8"/>
    <w:rsid w:val="00BE640C"/>
    <w:rsid w:val="00BF1505"/>
    <w:rsid w:val="00BF6C60"/>
    <w:rsid w:val="00C53D89"/>
    <w:rsid w:val="00C64B1D"/>
    <w:rsid w:val="00D13611"/>
    <w:rsid w:val="00D233FA"/>
    <w:rsid w:val="00D51DA3"/>
    <w:rsid w:val="00D65CCA"/>
    <w:rsid w:val="00D81392"/>
    <w:rsid w:val="00D871ED"/>
    <w:rsid w:val="00D9563D"/>
    <w:rsid w:val="00DA0635"/>
    <w:rsid w:val="00DD3834"/>
    <w:rsid w:val="00E06FAE"/>
    <w:rsid w:val="00E269C0"/>
    <w:rsid w:val="00E43B44"/>
    <w:rsid w:val="00E50CD9"/>
    <w:rsid w:val="00E7272D"/>
    <w:rsid w:val="00EC5B5C"/>
    <w:rsid w:val="00EE0F1E"/>
    <w:rsid w:val="00EF5630"/>
    <w:rsid w:val="00F30AFD"/>
    <w:rsid w:val="00F4184A"/>
    <w:rsid w:val="00F430AF"/>
    <w:rsid w:val="00F6526D"/>
    <w:rsid w:val="00F72318"/>
    <w:rsid w:val="00F8136A"/>
    <w:rsid w:val="00F97349"/>
    <w:rsid w:val="00FC1B02"/>
    <w:rsid w:val="00FD1285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A104BC0"/>
  <w15:chartTrackingRefBased/>
  <w15:docId w15:val="{8EB89FCC-4763-4A87-97DF-ADAEF157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06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2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20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6106"/>
  </w:style>
  <w:style w:type="paragraph" w:styleId="a7">
    <w:name w:val="footer"/>
    <w:basedOn w:val="a"/>
    <w:link w:val="a8"/>
    <w:uiPriority w:val="99"/>
    <w:unhideWhenUsed/>
    <w:rsid w:val="003261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6106"/>
  </w:style>
  <w:style w:type="table" w:styleId="a9">
    <w:name w:val="Table Grid"/>
    <w:basedOn w:val="a1"/>
    <w:uiPriority w:val="39"/>
    <w:rsid w:val="00DA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72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6936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992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9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61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倫子（m_matsu）</dc:creator>
  <cp:keywords/>
  <dc:description/>
  <cp:lastModifiedBy>Administrator</cp:lastModifiedBy>
  <cp:revision>17</cp:revision>
  <cp:lastPrinted>2019-08-07T10:28:00Z</cp:lastPrinted>
  <dcterms:created xsi:type="dcterms:W3CDTF">2020-02-13T06:13:00Z</dcterms:created>
  <dcterms:modified xsi:type="dcterms:W3CDTF">2022-02-10T03:09:00Z</dcterms:modified>
</cp:coreProperties>
</file>